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8359" w14:textId="77777777" w:rsidR="000F2079" w:rsidRPr="000F2079" w:rsidRDefault="000F2079" w:rsidP="000F2079">
      <w:pPr>
        <w:shd w:val="clear" w:color="auto" w:fill="FFFFFF"/>
        <w:spacing w:after="75" w:line="240" w:lineRule="auto"/>
        <w:jc w:val="center"/>
        <w:rPr>
          <w:rFonts w:ascii="Arial" w:eastAsia="Times New Roman" w:hAnsi="Arial" w:cs="Arial"/>
          <w:b/>
          <w:bCs/>
          <w:color w:val="22377A"/>
          <w:sz w:val="24"/>
          <w:szCs w:val="24"/>
          <w:lang w:eastAsia="it-IT"/>
        </w:rPr>
      </w:pPr>
      <w:r w:rsidRPr="000F2079">
        <w:rPr>
          <w:rFonts w:ascii="Arial" w:eastAsia="Times New Roman" w:hAnsi="Arial" w:cs="Arial"/>
          <w:b/>
          <w:bCs/>
          <w:color w:val="22377A"/>
          <w:sz w:val="24"/>
          <w:szCs w:val="24"/>
          <w:lang w:eastAsia="it-IT"/>
        </w:rPr>
        <w:t>Legislatura XVIII</w:t>
      </w:r>
    </w:p>
    <w:p w14:paraId="2088CB4B" w14:textId="77777777" w:rsidR="000F2079" w:rsidRPr="000F2079" w:rsidRDefault="000F2079" w:rsidP="000F2079">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it-IT"/>
        </w:rPr>
      </w:pPr>
      <w:bookmarkStart w:id="0" w:name="_GoBack"/>
      <w:r w:rsidRPr="000F2079">
        <w:rPr>
          <w:rFonts w:ascii="Arial" w:eastAsia="Times New Roman" w:hAnsi="Arial" w:cs="Arial"/>
          <w:b/>
          <w:bCs/>
          <w:color w:val="000000"/>
          <w:sz w:val="24"/>
          <w:szCs w:val="24"/>
          <w:lang w:eastAsia="it-IT"/>
        </w:rPr>
        <w:t>Proposta emendativa 177.016. in V Commissione in sede referente riferita al C. </w:t>
      </w:r>
      <w:hyperlink r:id="rId4" w:tgtFrame="testoPDL" w:history="1">
        <w:r w:rsidRPr="000F2079">
          <w:rPr>
            <w:rFonts w:ascii="Arial" w:eastAsia="Times New Roman" w:hAnsi="Arial" w:cs="Arial"/>
            <w:b/>
            <w:bCs/>
            <w:color w:val="1234FF"/>
            <w:sz w:val="24"/>
            <w:szCs w:val="24"/>
            <w:lang w:eastAsia="it-IT"/>
          </w:rPr>
          <w:t>2790-bis</w:t>
        </w:r>
      </w:hyperlink>
    </w:p>
    <w:bookmarkEnd w:id="0"/>
    <w:p w14:paraId="3AEBCD8B" w14:textId="77777777" w:rsidR="000F2079" w:rsidRPr="000F2079" w:rsidRDefault="000F2079" w:rsidP="000F2079">
      <w:pPr>
        <w:shd w:val="clear" w:color="auto" w:fill="FFFFFF"/>
        <w:spacing w:after="120" w:line="240" w:lineRule="auto"/>
        <w:rPr>
          <w:rFonts w:ascii="Arial" w:eastAsia="Times New Roman" w:hAnsi="Arial" w:cs="Arial"/>
          <w:color w:val="22377A"/>
          <w:sz w:val="20"/>
          <w:szCs w:val="20"/>
          <w:lang w:eastAsia="it-IT"/>
        </w:rPr>
      </w:pPr>
      <w:r w:rsidRPr="000F2079">
        <w:rPr>
          <w:rFonts w:ascii="Arial" w:eastAsia="Times New Roman" w:hAnsi="Arial" w:cs="Arial"/>
          <w:b/>
          <w:bCs/>
          <w:color w:val="22377A"/>
          <w:sz w:val="20"/>
          <w:szCs w:val="20"/>
          <w:lang w:eastAsia="it-IT"/>
        </w:rPr>
        <w:t>177.016.</w:t>
      </w:r>
    </w:p>
    <w:p w14:paraId="03392A69" w14:textId="77777777" w:rsidR="000F2079" w:rsidRPr="000F2079" w:rsidRDefault="000F2079" w:rsidP="000F2079">
      <w:pPr>
        <w:shd w:val="clear" w:color="auto" w:fill="FFFFFF"/>
        <w:spacing w:line="240" w:lineRule="auto"/>
        <w:rPr>
          <w:rFonts w:ascii="Arial" w:eastAsia="Times New Roman" w:hAnsi="Arial" w:cs="Arial"/>
          <w:b/>
          <w:bCs/>
          <w:color w:val="000000"/>
          <w:sz w:val="20"/>
          <w:szCs w:val="20"/>
          <w:lang w:eastAsia="it-IT"/>
        </w:rPr>
      </w:pPr>
      <w:r w:rsidRPr="000F2079">
        <w:rPr>
          <w:rFonts w:ascii="Arial" w:eastAsia="Times New Roman" w:hAnsi="Arial" w:cs="Arial"/>
          <w:b/>
          <w:bCs/>
          <w:color w:val="000000"/>
          <w:sz w:val="20"/>
          <w:szCs w:val="20"/>
          <w:lang w:eastAsia="it-IT"/>
        </w:rPr>
        <w:t>pubblicata nel Bollettino delle Giunte e Commissioni del 11/12/2020</w:t>
      </w:r>
      <w:hyperlink r:id="rId5" w:history="1">
        <w:r w:rsidRPr="000F2079">
          <w:rPr>
            <w:rFonts w:ascii="Arial" w:eastAsia="Times New Roman" w:hAnsi="Arial" w:cs="Arial"/>
            <w:b/>
            <w:bCs/>
            <w:color w:val="000000"/>
            <w:sz w:val="20"/>
            <w:szCs w:val="20"/>
            <w:bdr w:val="single" w:sz="6" w:space="1" w:color="C0C0C0" w:frame="1"/>
            <w:shd w:val="clear" w:color="auto" w:fill="F2F2F2"/>
            <w:lang w:eastAsia="it-IT"/>
          </w:rPr>
          <w:t> mostra</w:t>
        </w:r>
      </w:hyperlink>
    </w:p>
    <w:p w14:paraId="431CBA9D" w14:textId="77777777" w:rsidR="000F2079" w:rsidRPr="000F2079" w:rsidRDefault="000F2079" w:rsidP="000F2079">
      <w:pPr>
        <w:shd w:val="clear" w:color="auto" w:fill="FFFFFF"/>
        <w:spacing w:after="120" w:line="240" w:lineRule="auto"/>
        <w:rPr>
          <w:rFonts w:ascii="Arial" w:eastAsia="Times New Roman" w:hAnsi="Arial" w:cs="Arial"/>
          <w:color w:val="22377A"/>
          <w:sz w:val="20"/>
          <w:szCs w:val="20"/>
          <w:lang w:eastAsia="it-IT"/>
        </w:rPr>
      </w:pPr>
      <w:r w:rsidRPr="000F2079">
        <w:rPr>
          <w:rFonts w:ascii="Arial" w:eastAsia="Times New Roman" w:hAnsi="Arial" w:cs="Arial"/>
          <w:b/>
          <w:bCs/>
          <w:color w:val="22377A"/>
          <w:sz w:val="20"/>
          <w:szCs w:val="20"/>
          <w:lang w:eastAsia="it-IT"/>
        </w:rPr>
        <w:t>177.016.</w:t>
      </w:r>
      <w:r w:rsidRPr="000F2079">
        <w:rPr>
          <w:rFonts w:ascii="Arial" w:eastAsia="Times New Roman" w:hAnsi="Arial" w:cs="Arial"/>
          <w:color w:val="22377A"/>
          <w:sz w:val="20"/>
          <w:szCs w:val="20"/>
          <w:lang w:eastAsia="it-IT"/>
        </w:rPr>
        <w:t> (</w:t>
      </w:r>
      <w:r w:rsidRPr="000F2079">
        <w:rPr>
          <w:rFonts w:ascii="Arial" w:eastAsia="Times New Roman" w:hAnsi="Arial" w:cs="Arial"/>
          <w:i/>
          <w:iCs/>
          <w:color w:val="22377A"/>
          <w:sz w:val="20"/>
          <w:szCs w:val="20"/>
          <w:lang w:eastAsia="it-IT"/>
        </w:rPr>
        <w:t>nuova formulazione</w:t>
      </w:r>
      <w:r w:rsidRPr="000F2079">
        <w:rPr>
          <w:rFonts w:ascii="Arial" w:eastAsia="Times New Roman" w:hAnsi="Arial" w:cs="Arial"/>
          <w:color w:val="22377A"/>
          <w:sz w:val="20"/>
          <w:szCs w:val="20"/>
          <w:lang w:eastAsia="it-IT"/>
        </w:rPr>
        <w:t>)</w:t>
      </w:r>
    </w:p>
    <w:p w14:paraId="402FE2EB" w14:textId="77777777" w:rsidR="000F2079" w:rsidRPr="000F2079" w:rsidRDefault="000F2079" w:rsidP="000F2079">
      <w:pPr>
        <w:shd w:val="clear" w:color="auto" w:fill="FFFFFF"/>
        <w:spacing w:line="240" w:lineRule="auto"/>
        <w:rPr>
          <w:rFonts w:ascii="Arial" w:eastAsia="Times New Roman" w:hAnsi="Arial" w:cs="Arial"/>
          <w:b/>
          <w:bCs/>
          <w:color w:val="000000"/>
          <w:sz w:val="20"/>
          <w:szCs w:val="20"/>
          <w:lang w:eastAsia="it-IT"/>
        </w:rPr>
      </w:pPr>
      <w:r w:rsidRPr="000F2079">
        <w:rPr>
          <w:rFonts w:ascii="Arial" w:eastAsia="Times New Roman" w:hAnsi="Arial" w:cs="Arial"/>
          <w:b/>
          <w:bCs/>
          <w:color w:val="000000"/>
          <w:sz w:val="20"/>
          <w:szCs w:val="20"/>
          <w:lang w:eastAsia="it-IT"/>
        </w:rPr>
        <w:t>pubblicata nel Bollettino delle Giunte e Commissioni del 20/12/2020</w:t>
      </w:r>
      <w:hyperlink r:id="rId6" w:history="1">
        <w:r w:rsidRPr="000F2079">
          <w:rPr>
            <w:rFonts w:ascii="Arial" w:eastAsia="Times New Roman" w:hAnsi="Arial" w:cs="Arial"/>
            <w:b/>
            <w:bCs/>
            <w:color w:val="000000"/>
            <w:sz w:val="20"/>
            <w:szCs w:val="20"/>
            <w:bdr w:val="single" w:sz="6" w:space="1" w:color="C0C0C0" w:frame="1"/>
            <w:shd w:val="clear" w:color="auto" w:fill="F2F2F2"/>
            <w:lang w:eastAsia="it-IT"/>
          </w:rPr>
          <w:t> nascondi</w:t>
        </w:r>
      </w:hyperlink>
    </w:p>
    <w:p w14:paraId="08211F9A" w14:textId="77777777" w:rsidR="000F2079" w:rsidRPr="000F2079" w:rsidRDefault="000F2079" w:rsidP="000F2079">
      <w:pPr>
        <w:shd w:val="clear" w:color="auto" w:fill="FFFFFF"/>
        <w:spacing w:after="120" w:line="240" w:lineRule="auto"/>
        <w:rPr>
          <w:rFonts w:ascii="Arial" w:eastAsia="Times New Roman" w:hAnsi="Arial" w:cs="Arial"/>
          <w:b/>
          <w:bCs/>
          <w:color w:val="22377A"/>
          <w:lang w:eastAsia="it-IT"/>
        </w:rPr>
      </w:pPr>
      <w:r w:rsidRPr="000F2079">
        <w:rPr>
          <w:rFonts w:ascii="Arial" w:eastAsia="Times New Roman" w:hAnsi="Arial" w:cs="Arial"/>
          <w:b/>
          <w:bCs/>
          <w:color w:val="22377A"/>
          <w:lang w:eastAsia="it-IT"/>
        </w:rPr>
        <w:t>Proposta emendativa pubblicata nel Bollettino delle Giunte e Commissioni del 20/12/2020  [ </w:t>
      </w:r>
      <w:hyperlink r:id="rId7" w:tgtFrame="_new" w:history="1">
        <w:r w:rsidRPr="000F2079">
          <w:rPr>
            <w:rFonts w:ascii="Arial" w:eastAsia="Times New Roman" w:hAnsi="Arial" w:cs="Arial"/>
            <w:b/>
            <w:bCs/>
            <w:color w:val="1234FF"/>
            <w:lang w:eastAsia="it-IT"/>
          </w:rPr>
          <w:t>apri </w:t>
        </w:r>
      </w:hyperlink>
      <w:r w:rsidRPr="000F2079">
        <w:rPr>
          <w:rFonts w:ascii="Arial" w:eastAsia="Times New Roman" w:hAnsi="Arial" w:cs="Arial"/>
          <w:b/>
          <w:bCs/>
          <w:color w:val="22377A"/>
          <w:lang w:eastAsia="it-IT"/>
        </w:rPr>
        <w:t>]</w:t>
      </w:r>
    </w:p>
    <w:p w14:paraId="79C5FC55" w14:textId="77777777" w:rsidR="000F2079" w:rsidRPr="000F2079" w:rsidRDefault="000F2079" w:rsidP="000F2079">
      <w:pPr>
        <w:shd w:val="clear" w:color="auto" w:fill="FFFFFF"/>
        <w:spacing w:after="0" w:line="240" w:lineRule="auto"/>
        <w:rPr>
          <w:rFonts w:ascii="Arial" w:eastAsia="Times New Roman" w:hAnsi="Arial" w:cs="Arial"/>
          <w:color w:val="22377A"/>
          <w:lang w:eastAsia="it-IT"/>
        </w:rPr>
      </w:pPr>
      <w:r w:rsidRPr="000F2079">
        <w:rPr>
          <w:rFonts w:ascii="Arial" w:eastAsia="Times New Roman" w:hAnsi="Arial" w:cs="Arial"/>
          <w:b/>
          <w:bCs/>
          <w:color w:val="22377A"/>
          <w:lang w:eastAsia="it-IT"/>
        </w:rPr>
        <w:t>177.016.</w:t>
      </w:r>
      <w:r w:rsidRPr="000F2079">
        <w:rPr>
          <w:rFonts w:ascii="Arial" w:eastAsia="Times New Roman" w:hAnsi="Arial" w:cs="Arial"/>
          <w:color w:val="22377A"/>
          <w:lang w:eastAsia="it-IT"/>
        </w:rPr>
        <w:t> (</w:t>
      </w:r>
      <w:r w:rsidRPr="000F2079">
        <w:rPr>
          <w:rFonts w:ascii="Arial" w:eastAsia="Times New Roman" w:hAnsi="Arial" w:cs="Arial"/>
          <w:i/>
          <w:iCs/>
          <w:color w:val="22377A"/>
          <w:lang w:eastAsia="it-IT"/>
        </w:rPr>
        <w:t>nuova formulazione</w:t>
      </w:r>
      <w:r w:rsidRPr="000F2079">
        <w:rPr>
          <w:rFonts w:ascii="Arial" w:eastAsia="Times New Roman" w:hAnsi="Arial" w:cs="Arial"/>
          <w:color w:val="22377A"/>
          <w:lang w:eastAsia="it-IT"/>
        </w:rPr>
        <w:t>)</w:t>
      </w:r>
    </w:p>
    <w:p w14:paraId="3B6E3B38" w14:textId="77777777" w:rsidR="000F2079" w:rsidRPr="000F2079" w:rsidRDefault="000F2079" w:rsidP="000F2079">
      <w:pPr>
        <w:shd w:val="clear" w:color="auto" w:fill="FFFFFF"/>
        <w:spacing w:after="0" w:line="240" w:lineRule="auto"/>
        <w:rPr>
          <w:rFonts w:ascii="Arial" w:eastAsia="Times New Roman" w:hAnsi="Arial" w:cs="Arial"/>
          <w:color w:val="000000"/>
          <w:sz w:val="18"/>
          <w:szCs w:val="18"/>
          <w:lang w:eastAsia="it-IT"/>
        </w:rPr>
      </w:pPr>
      <w:r w:rsidRPr="000F2079">
        <w:rPr>
          <w:rFonts w:ascii="Arial" w:eastAsia="Times New Roman" w:hAnsi="Arial" w:cs="Arial"/>
          <w:b/>
          <w:bCs/>
          <w:color w:val="FFFFFF"/>
          <w:sz w:val="18"/>
          <w:szCs w:val="18"/>
          <w:bdr w:val="single" w:sz="12" w:space="0" w:color="006400" w:frame="1"/>
          <w:shd w:val="clear" w:color="auto" w:fill="006400"/>
          <w:lang w:eastAsia="it-IT"/>
        </w:rPr>
        <w:t>approvato</w:t>
      </w:r>
    </w:p>
    <w:p w14:paraId="0EE2B461"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i/>
          <w:iCs/>
          <w:color w:val="000000"/>
          <w:sz w:val="20"/>
          <w:szCs w:val="20"/>
          <w:lang w:eastAsia="it-IT"/>
        </w:rPr>
        <w:t>Dopo l'articolo 177, aggiungere il seguente:</w:t>
      </w:r>
    </w:p>
    <w:p w14:paraId="2A2EA955" w14:textId="77777777" w:rsidR="000F2079" w:rsidRPr="000F2079" w:rsidRDefault="000F2079" w:rsidP="000F2079">
      <w:pPr>
        <w:shd w:val="clear" w:color="auto" w:fill="FFFFFF"/>
        <w:spacing w:before="100" w:beforeAutospacing="1" w:after="100" w:afterAutospacing="1" w:line="240" w:lineRule="auto"/>
        <w:jc w:val="center"/>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Art. 177-</w:t>
      </w:r>
      <w:r w:rsidRPr="000F2079">
        <w:rPr>
          <w:rFonts w:ascii="Arial" w:eastAsia="Times New Roman" w:hAnsi="Arial" w:cs="Arial"/>
          <w:i/>
          <w:iCs/>
          <w:color w:val="000000"/>
          <w:sz w:val="20"/>
          <w:szCs w:val="20"/>
          <w:lang w:eastAsia="it-IT"/>
        </w:rPr>
        <w:t>bis.</w:t>
      </w:r>
      <w:r w:rsidRPr="000F2079">
        <w:rPr>
          <w:rFonts w:ascii="Arial" w:eastAsia="Times New Roman" w:hAnsi="Arial" w:cs="Arial"/>
          <w:color w:val="000000"/>
          <w:sz w:val="20"/>
          <w:szCs w:val="20"/>
          <w:lang w:eastAsia="it-IT"/>
        </w:rPr>
        <w:br/>
      </w:r>
      <w:r w:rsidRPr="000F2079">
        <w:rPr>
          <w:rFonts w:ascii="Arial" w:eastAsia="Times New Roman" w:hAnsi="Arial" w:cs="Arial"/>
          <w:i/>
          <w:iCs/>
          <w:color w:val="000000"/>
          <w:sz w:val="20"/>
          <w:szCs w:val="20"/>
          <w:lang w:eastAsia="it-IT"/>
        </w:rPr>
        <w:t>(Rimborso delle spese legali per gli imputati assolti con sentenza penale passata in giudicato)</w:t>
      </w:r>
    </w:p>
    <w:p w14:paraId="5B22EF47"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1. Nel processo penale, all'imputato assolto con sentenza divenuta irrevocabile perché il fatto non sussiste, perché non ha commesso il fatto, perché il fatto non costituisce reato o non è previsto dalla legge come reato, è riconosciuto un rimborso delle spese legali nel limite massimo di importo pari a euro 10.500.</w:t>
      </w:r>
      <w:r w:rsidRPr="000F2079">
        <w:rPr>
          <w:rFonts w:ascii="Arial" w:eastAsia="Times New Roman" w:hAnsi="Arial" w:cs="Arial"/>
          <w:color w:val="000000"/>
          <w:sz w:val="20"/>
          <w:szCs w:val="20"/>
          <w:lang w:eastAsia="it-IT"/>
        </w:rPr>
        <w:br/>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2. Il rimborso di cui al comma 1 è ripartito in tre quote annuali di pari importo, a partire dall'anno successivo a quello in cui la sentenza è divenuta irrevocabile, e non concorre alla formazione del reddito ai sensi del testo unico delle imposte sui redditi, di cui al decreto del Presidente della Repubblica 22 dicembre 1986, n. 917.</w:t>
      </w:r>
      <w:r w:rsidRPr="000F2079">
        <w:rPr>
          <w:rFonts w:ascii="Arial" w:eastAsia="Times New Roman" w:hAnsi="Arial" w:cs="Arial"/>
          <w:color w:val="000000"/>
          <w:sz w:val="20"/>
          <w:szCs w:val="20"/>
          <w:lang w:eastAsia="it-IT"/>
        </w:rPr>
        <w:br/>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3. Il rimborso di cui al comma 1 è riconosciuto dietro presentazione di fattura del difensore, con espressa indicazione causale e dell'avvenuto pagamento, corredata da parere di congruità del competente Consiglio dell'ordine degli avvocati, nonché di copia della sentenza di assoluzione con attestazione di cancelleria della sua irrevocabilità.</w:t>
      </w:r>
      <w:r w:rsidRPr="000F2079">
        <w:rPr>
          <w:rFonts w:ascii="Arial" w:eastAsia="Times New Roman" w:hAnsi="Arial" w:cs="Arial"/>
          <w:color w:val="000000"/>
          <w:sz w:val="20"/>
          <w:szCs w:val="20"/>
          <w:lang w:eastAsia="it-IT"/>
        </w:rPr>
        <w:br/>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4. Il rimborso di cui al comma 1 non è riconosciuto nei seguenti casi:</w:t>
      </w:r>
    </w:p>
    <w:p w14:paraId="664268FB"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i/>
          <w:iCs/>
          <w:color w:val="000000"/>
          <w:sz w:val="20"/>
          <w:szCs w:val="20"/>
          <w:lang w:eastAsia="it-IT"/>
        </w:rPr>
        <w:t>a)</w:t>
      </w:r>
      <w:r w:rsidRPr="000F2079">
        <w:rPr>
          <w:rFonts w:ascii="Arial" w:eastAsia="Times New Roman" w:hAnsi="Arial" w:cs="Arial"/>
          <w:color w:val="000000"/>
          <w:sz w:val="20"/>
          <w:szCs w:val="20"/>
          <w:lang w:eastAsia="it-IT"/>
        </w:rPr>
        <w:t> assoluzione da uno o più capi di imputazione e condanna per altri reati;</w:t>
      </w:r>
    </w:p>
    <w:p w14:paraId="1CC25E7F"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i/>
          <w:iCs/>
          <w:color w:val="000000"/>
          <w:sz w:val="20"/>
          <w:szCs w:val="20"/>
          <w:lang w:eastAsia="it-IT"/>
        </w:rPr>
        <w:t>b)</w:t>
      </w:r>
      <w:r w:rsidRPr="000F2079">
        <w:rPr>
          <w:rFonts w:ascii="Arial" w:eastAsia="Times New Roman" w:hAnsi="Arial" w:cs="Arial"/>
          <w:color w:val="000000"/>
          <w:sz w:val="20"/>
          <w:szCs w:val="20"/>
          <w:lang w:eastAsia="it-IT"/>
        </w:rPr>
        <w:t> estinzione del reato per avvenuta amnistia o prescrizione;</w:t>
      </w:r>
    </w:p>
    <w:p w14:paraId="67AFE488"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i/>
          <w:iCs/>
          <w:color w:val="000000"/>
          <w:sz w:val="20"/>
          <w:szCs w:val="20"/>
          <w:lang w:eastAsia="it-IT"/>
        </w:rPr>
        <w:t>c)</w:t>
      </w:r>
      <w:r w:rsidRPr="000F2079">
        <w:rPr>
          <w:rFonts w:ascii="Arial" w:eastAsia="Times New Roman" w:hAnsi="Arial" w:cs="Arial"/>
          <w:color w:val="000000"/>
          <w:sz w:val="20"/>
          <w:szCs w:val="20"/>
          <w:lang w:eastAsia="it-IT"/>
        </w:rPr>
        <w:t> sopravvenuta depenalizzazione dei fatti oggetto di imputazione.</w:t>
      </w:r>
    </w:p>
    <w:p w14:paraId="61DF30A9"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5. Con decreto del Ministro della giustizia, di concerto con il Ministro dell'economia e delle finanze, da adottare entro sessanta giorni dalla data di entrata in vigore della presente legge, sono definiti i criteri e le modalità di erogazione dei rimborsi di cui al comma 1, nonché le ulteriori disposizioni ai fini del contenimento della spesa nei limiti di cui al comma 6, attribuendo rilievo al numero di gradi di giudizio cui l'assolto è stato sottoposto e alla durata del giudizio.</w:t>
      </w:r>
      <w:r w:rsidRPr="000F2079">
        <w:rPr>
          <w:rFonts w:ascii="Arial" w:eastAsia="Times New Roman" w:hAnsi="Arial" w:cs="Arial"/>
          <w:color w:val="000000"/>
          <w:sz w:val="20"/>
          <w:szCs w:val="20"/>
          <w:lang w:eastAsia="it-IT"/>
        </w:rPr>
        <w:br/>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6. Per la finalità del presente articolo, nello stato di previsione del Ministero della giustizia è istituito il Fondo per il rimborso delle spese legali agli imputati assolti, con la dotazione di euro 8.000.000 annui a decorrere dall'anno 2021, che costituisce limite complessivo di spesa per l'erogazione dei rimborsi di cui al comma 1.</w:t>
      </w:r>
      <w:r w:rsidRPr="000F2079">
        <w:rPr>
          <w:rFonts w:ascii="Arial" w:eastAsia="Times New Roman" w:hAnsi="Arial" w:cs="Arial"/>
          <w:color w:val="000000"/>
          <w:sz w:val="20"/>
          <w:szCs w:val="20"/>
          <w:lang w:eastAsia="it-IT"/>
        </w:rPr>
        <w:br/>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7. Il Ministero della giustizia provvede agli adempimenti di cui al presente articolo con le risorse umane, strumentali e finanziarie disponibili a legislazione vigente, senza nuovi o maggiori oneri a carico della finanza pubblica.</w:t>
      </w:r>
      <w:r w:rsidRPr="000F2079">
        <w:rPr>
          <w:rFonts w:ascii="Arial" w:eastAsia="Times New Roman" w:hAnsi="Arial" w:cs="Arial"/>
          <w:color w:val="000000"/>
          <w:sz w:val="20"/>
          <w:szCs w:val="20"/>
          <w:lang w:eastAsia="it-IT"/>
        </w:rPr>
        <w:br/>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 </w:t>
      </w:r>
      <w:r w:rsidRPr="000F2079">
        <w:rPr>
          <w:rFonts w:ascii="Arial" w:eastAsia="Times New Roman" w:hAnsi="Arial" w:cs="Arial"/>
          <w:color w:val="000000"/>
          <w:sz w:val="20"/>
          <w:szCs w:val="20"/>
          <w:lang w:eastAsia="it-IT"/>
        </w:rPr>
        <w:t>8. Le disposizioni del presente articolo si applicano nei casi di sentenze di assoluzione divenute irrevocabili successivamente alla data di entrata in vigore della presente legge.</w:t>
      </w:r>
    </w:p>
    <w:p w14:paraId="4A5ABBE1" w14:textId="77777777" w:rsidR="000F2079" w:rsidRPr="000F2079" w:rsidRDefault="000F2079" w:rsidP="000F207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F2079">
        <w:rPr>
          <w:rFonts w:ascii="Arial" w:eastAsia="Times New Roman" w:hAnsi="Arial" w:cs="Arial"/>
          <w:color w:val="000000"/>
          <w:sz w:val="20"/>
          <w:szCs w:val="20"/>
          <w:lang w:eastAsia="it-IT"/>
        </w:rPr>
        <w:lastRenderedPageBreak/>
        <w:t> </w:t>
      </w:r>
      <w:r w:rsidRPr="000F2079">
        <w:rPr>
          <w:rFonts w:ascii="Arial" w:eastAsia="Times New Roman" w:hAnsi="Arial" w:cs="Arial"/>
          <w:color w:val="000000"/>
          <w:sz w:val="20"/>
          <w:szCs w:val="20"/>
          <w:lang w:eastAsia="it-IT"/>
        </w:rPr>
        <w:t> </w:t>
      </w:r>
      <w:r w:rsidRPr="000F2079">
        <w:rPr>
          <w:rFonts w:ascii="Arial" w:eastAsia="Times New Roman" w:hAnsi="Arial" w:cs="Arial"/>
          <w:i/>
          <w:iCs/>
          <w:color w:val="000000"/>
          <w:sz w:val="20"/>
          <w:szCs w:val="20"/>
          <w:lang w:eastAsia="it-IT"/>
        </w:rPr>
        <w:t>Conseguentemente il fondo di cui all'articolo 209, comma 1, è ridotto di 8.000.000 di euro annui a decorrere dal 2021.</w:t>
      </w:r>
    </w:p>
    <w:p w14:paraId="15E68394" w14:textId="77777777" w:rsidR="000F2079" w:rsidRPr="000F2079" w:rsidRDefault="005C775F" w:rsidP="000F2079">
      <w:pPr>
        <w:shd w:val="clear" w:color="auto" w:fill="FFFFFF"/>
        <w:spacing w:after="150" w:line="240" w:lineRule="auto"/>
        <w:rPr>
          <w:rFonts w:ascii="Arial" w:eastAsia="Times New Roman" w:hAnsi="Arial" w:cs="Arial"/>
          <w:color w:val="000000"/>
          <w:sz w:val="20"/>
          <w:szCs w:val="20"/>
          <w:lang w:eastAsia="it-IT"/>
        </w:rPr>
      </w:pPr>
      <w:hyperlink r:id="rId8" w:history="1">
        <w:r w:rsidR="000F2079" w:rsidRPr="000F2079">
          <w:rPr>
            <w:rFonts w:ascii="Arial" w:eastAsia="Times New Roman" w:hAnsi="Arial" w:cs="Arial"/>
            <w:color w:val="1234FF"/>
            <w:sz w:val="20"/>
            <w:szCs w:val="20"/>
            <w:lang w:eastAsia="it-IT"/>
          </w:rPr>
          <w:t>Costa Enrico</w:t>
        </w:r>
      </w:hyperlink>
      <w:r w:rsidR="000F2079" w:rsidRPr="000F2079">
        <w:rPr>
          <w:rFonts w:ascii="Arial" w:eastAsia="Times New Roman" w:hAnsi="Arial" w:cs="Arial"/>
          <w:color w:val="000000"/>
          <w:sz w:val="20"/>
          <w:szCs w:val="20"/>
          <w:lang w:eastAsia="it-IT"/>
        </w:rPr>
        <w:t>, </w:t>
      </w:r>
      <w:hyperlink r:id="rId9" w:history="1">
        <w:r w:rsidR="000F2079" w:rsidRPr="000F2079">
          <w:rPr>
            <w:rFonts w:ascii="Arial" w:eastAsia="Times New Roman" w:hAnsi="Arial" w:cs="Arial"/>
            <w:color w:val="1234FF"/>
            <w:sz w:val="20"/>
            <w:szCs w:val="20"/>
            <w:lang w:eastAsia="it-IT"/>
          </w:rPr>
          <w:t>Angiola Nunzio</w:t>
        </w:r>
      </w:hyperlink>
      <w:r w:rsidR="000F2079" w:rsidRPr="000F2079">
        <w:rPr>
          <w:rFonts w:ascii="Arial" w:eastAsia="Times New Roman" w:hAnsi="Arial" w:cs="Arial"/>
          <w:color w:val="000000"/>
          <w:sz w:val="20"/>
          <w:szCs w:val="20"/>
          <w:lang w:eastAsia="it-IT"/>
        </w:rPr>
        <w:t>, </w:t>
      </w:r>
      <w:hyperlink r:id="rId10" w:history="1">
        <w:r w:rsidR="000F2079" w:rsidRPr="000F2079">
          <w:rPr>
            <w:rFonts w:ascii="Arial" w:eastAsia="Times New Roman" w:hAnsi="Arial" w:cs="Arial"/>
            <w:color w:val="1234FF"/>
            <w:sz w:val="20"/>
            <w:szCs w:val="20"/>
            <w:lang w:eastAsia="it-IT"/>
          </w:rPr>
          <w:t>Magi Riccardo</w:t>
        </w:r>
      </w:hyperlink>
      <w:r w:rsidR="000F2079" w:rsidRPr="000F2079">
        <w:rPr>
          <w:rFonts w:ascii="Arial" w:eastAsia="Times New Roman" w:hAnsi="Arial" w:cs="Arial"/>
          <w:color w:val="000000"/>
          <w:sz w:val="20"/>
          <w:szCs w:val="20"/>
          <w:lang w:eastAsia="it-IT"/>
        </w:rPr>
        <w:t>, </w:t>
      </w:r>
      <w:hyperlink r:id="rId11" w:history="1">
        <w:r w:rsidR="000F2079" w:rsidRPr="000F2079">
          <w:rPr>
            <w:rFonts w:ascii="Arial" w:eastAsia="Times New Roman" w:hAnsi="Arial" w:cs="Arial"/>
            <w:color w:val="1234FF"/>
            <w:sz w:val="20"/>
            <w:szCs w:val="20"/>
            <w:lang w:eastAsia="it-IT"/>
          </w:rPr>
          <w:t>Frate Flora</w:t>
        </w:r>
      </w:hyperlink>
      <w:r w:rsidR="000F2079" w:rsidRPr="000F2079">
        <w:rPr>
          <w:rFonts w:ascii="Arial" w:eastAsia="Times New Roman" w:hAnsi="Arial" w:cs="Arial"/>
          <w:color w:val="000000"/>
          <w:sz w:val="20"/>
          <w:szCs w:val="20"/>
          <w:lang w:eastAsia="it-IT"/>
        </w:rPr>
        <w:t>, </w:t>
      </w:r>
      <w:hyperlink r:id="rId12" w:history="1">
        <w:r w:rsidR="000F2079" w:rsidRPr="000F2079">
          <w:rPr>
            <w:rFonts w:ascii="Arial" w:eastAsia="Times New Roman" w:hAnsi="Arial" w:cs="Arial"/>
            <w:color w:val="1234FF"/>
            <w:sz w:val="20"/>
            <w:szCs w:val="20"/>
            <w:lang w:eastAsia="it-IT"/>
          </w:rPr>
          <w:t>Garavaglia Massimo</w:t>
        </w:r>
      </w:hyperlink>
    </w:p>
    <w:p w14:paraId="47527A44" w14:textId="77777777" w:rsidR="00836882" w:rsidRDefault="00836882"/>
    <w:sectPr w:rsidR="008368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79"/>
    <w:rsid w:val="000F2079"/>
    <w:rsid w:val="005C775F"/>
    <w:rsid w:val="00836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E6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0F207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F2079"/>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0F2079"/>
    <w:rPr>
      <w:color w:val="0000FF"/>
      <w:u w:val="single"/>
    </w:rPr>
  </w:style>
  <w:style w:type="character" w:styleId="Enfasigrassetto">
    <w:name w:val="Strong"/>
    <w:basedOn w:val="Carpredefinitoparagrafo"/>
    <w:uiPriority w:val="22"/>
    <w:qFormat/>
    <w:rsid w:val="000F2079"/>
    <w:rPr>
      <w:b/>
      <w:bCs/>
    </w:rPr>
  </w:style>
  <w:style w:type="character" w:customStyle="1" w:styleId="mostranascondi">
    <w:name w:val="mostranascondi"/>
    <w:basedOn w:val="Carpredefinitoparagrafo"/>
    <w:rsid w:val="000F2079"/>
  </w:style>
  <w:style w:type="character" w:styleId="Enfasicorsivo">
    <w:name w:val="Emphasis"/>
    <w:basedOn w:val="Carpredefinitoparagrafo"/>
    <w:uiPriority w:val="20"/>
    <w:qFormat/>
    <w:rsid w:val="000F2079"/>
    <w:rPr>
      <w:i/>
      <w:iCs/>
    </w:rPr>
  </w:style>
  <w:style w:type="character" w:customStyle="1" w:styleId="approvato">
    <w:name w:val="approvato"/>
    <w:basedOn w:val="Carpredefinitoparagrafo"/>
    <w:rsid w:val="000F2079"/>
  </w:style>
  <w:style w:type="paragraph" w:styleId="NormaleWeb">
    <w:name w:val="Normal (Web)"/>
    <w:basedOn w:val="Normale"/>
    <w:uiPriority w:val="99"/>
    <w:semiHidden/>
    <w:unhideWhenUsed/>
    <w:rsid w:val="000F207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1882">
      <w:bodyDiv w:val="1"/>
      <w:marLeft w:val="0"/>
      <w:marRight w:val="0"/>
      <w:marTop w:val="0"/>
      <w:marBottom w:val="0"/>
      <w:divBdr>
        <w:top w:val="none" w:sz="0" w:space="0" w:color="auto"/>
        <w:left w:val="none" w:sz="0" w:space="0" w:color="auto"/>
        <w:bottom w:val="none" w:sz="0" w:space="0" w:color="auto"/>
        <w:right w:val="none" w:sz="0" w:space="0" w:color="auto"/>
      </w:divBdr>
      <w:divsChild>
        <w:div w:id="1750232094">
          <w:marLeft w:val="300"/>
          <w:marRight w:val="300"/>
          <w:marTop w:val="75"/>
          <w:marBottom w:val="75"/>
          <w:divBdr>
            <w:top w:val="none" w:sz="0" w:space="0" w:color="auto"/>
            <w:left w:val="none" w:sz="0" w:space="0" w:color="auto"/>
            <w:bottom w:val="none" w:sz="0" w:space="0" w:color="auto"/>
            <w:right w:val="none" w:sz="0" w:space="0" w:color="auto"/>
          </w:divBdr>
        </w:div>
        <w:div w:id="867717197">
          <w:marLeft w:val="150"/>
          <w:marRight w:val="150"/>
          <w:marTop w:val="150"/>
          <w:marBottom w:val="150"/>
          <w:divBdr>
            <w:top w:val="single" w:sz="6" w:space="0" w:color="B7BAC3"/>
            <w:left w:val="single" w:sz="6" w:space="8" w:color="B7BAC3"/>
            <w:bottom w:val="single" w:sz="6" w:space="8" w:color="B7BAC3"/>
            <w:right w:val="single" w:sz="6" w:space="8" w:color="B7BAC3"/>
          </w:divBdr>
          <w:divsChild>
            <w:div w:id="1526409247">
              <w:marLeft w:val="0"/>
              <w:marRight w:val="0"/>
              <w:marTop w:val="375"/>
              <w:marBottom w:val="120"/>
              <w:divBdr>
                <w:top w:val="none" w:sz="0" w:space="0" w:color="auto"/>
                <w:left w:val="none" w:sz="0" w:space="0" w:color="auto"/>
                <w:bottom w:val="none" w:sz="0" w:space="0" w:color="auto"/>
                <w:right w:val="none" w:sz="0" w:space="0" w:color="auto"/>
              </w:divBdr>
            </w:div>
            <w:div w:id="889417048">
              <w:marLeft w:val="600"/>
              <w:marRight w:val="75"/>
              <w:marTop w:val="0"/>
              <w:marBottom w:val="225"/>
              <w:divBdr>
                <w:top w:val="none" w:sz="0" w:space="0" w:color="auto"/>
                <w:left w:val="none" w:sz="0" w:space="0" w:color="auto"/>
                <w:bottom w:val="none" w:sz="0" w:space="0" w:color="auto"/>
                <w:right w:val="none" w:sz="0" w:space="0" w:color="auto"/>
              </w:divBdr>
            </w:div>
            <w:div w:id="1852916520">
              <w:marLeft w:val="0"/>
              <w:marRight w:val="0"/>
              <w:marTop w:val="375"/>
              <w:marBottom w:val="120"/>
              <w:divBdr>
                <w:top w:val="none" w:sz="0" w:space="0" w:color="auto"/>
                <w:left w:val="none" w:sz="0" w:space="0" w:color="auto"/>
                <w:bottom w:val="none" w:sz="0" w:space="0" w:color="auto"/>
                <w:right w:val="none" w:sz="0" w:space="0" w:color="auto"/>
              </w:divBdr>
            </w:div>
            <w:div w:id="2059624002">
              <w:marLeft w:val="600"/>
              <w:marRight w:val="75"/>
              <w:marTop w:val="0"/>
              <w:marBottom w:val="225"/>
              <w:divBdr>
                <w:top w:val="none" w:sz="0" w:space="0" w:color="auto"/>
                <w:left w:val="none" w:sz="0" w:space="0" w:color="auto"/>
                <w:bottom w:val="none" w:sz="0" w:space="0" w:color="auto"/>
                <w:right w:val="none" w:sz="0" w:space="0" w:color="auto"/>
              </w:divBdr>
            </w:div>
          </w:divsChild>
        </w:div>
        <w:div w:id="603804692">
          <w:marLeft w:val="0"/>
          <w:marRight w:val="0"/>
          <w:marTop w:val="0"/>
          <w:marBottom w:val="0"/>
          <w:divBdr>
            <w:top w:val="none" w:sz="0" w:space="0" w:color="auto"/>
            <w:left w:val="none" w:sz="0" w:space="0" w:color="auto"/>
            <w:bottom w:val="none" w:sz="0" w:space="0" w:color="auto"/>
            <w:right w:val="none" w:sz="0" w:space="0" w:color="auto"/>
          </w:divBdr>
          <w:divsChild>
            <w:div w:id="2039817469">
              <w:marLeft w:val="150"/>
              <w:marRight w:val="150"/>
              <w:marTop w:val="150"/>
              <w:marBottom w:val="150"/>
              <w:divBdr>
                <w:top w:val="single" w:sz="6" w:space="8" w:color="B7BAC3"/>
                <w:left w:val="single" w:sz="6" w:space="8" w:color="B7BAC3"/>
                <w:bottom w:val="single" w:sz="6" w:space="8" w:color="B7BAC3"/>
                <w:right w:val="single" w:sz="6" w:space="8" w:color="B7BAC3"/>
              </w:divBdr>
              <w:divsChild>
                <w:div w:id="832569640">
                  <w:marLeft w:val="150"/>
                  <w:marRight w:val="150"/>
                  <w:marTop w:val="120"/>
                  <w:marBottom w:val="120"/>
                  <w:divBdr>
                    <w:top w:val="none" w:sz="0" w:space="0" w:color="auto"/>
                    <w:left w:val="none" w:sz="0" w:space="0" w:color="auto"/>
                    <w:bottom w:val="none" w:sz="0" w:space="0" w:color="auto"/>
                    <w:right w:val="none" w:sz="0" w:space="0" w:color="auto"/>
                  </w:divBdr>
                </w:div>
                <w:div w:id="1591767398">
                  <w:marLeft w:val="0"/>
                  <w:marRight w:val="0"/>
                  <w:marTop w:val="0"/>
                  <w:marBottom w:val="0"/>
                  <w:divBdr>
                    <w:top w:val="none" w:sz="0" w:space="0" w:color="auto"/>
                    <w:left w:val="none" w:sz="0" w:space="0" w:color="auto"/>
                    <w:bottom w:val="none" w:sz="0" w:space="0" w:color="auto"/>
                    <w:right w:val="none" w:sz="0" w:space="0" w:color="auto"/>
                  </w:divBdr>
                  <w:divsChild>
                    <w:div w:id="2141341463">
                      <w:marLeft w:val="0"/>
                      <w:marRight w:val="0"/>
                      <w:marTop w:val="0"/>
                      <w:marBottom w:val="0"/>
                      <w:divBdr>
                        <w:top w:val="none" w:sz="0" w:space="0" w:color="auto"/>
                        <w:left w:val="none" w:sz="0" w:space="0" w:color="auto"/>
                        <w:bottom w:val="none" w:sz="0" w:space="0" w:color="auto"/>
                        <w:right w:val="none" w:sz="0" w:space="0" w:color="auto"/>
                      </w:divBdr>
                      <w:divsChild>
                        <w:div w:id="1390227312">
                          <w:marLeft w:val="150"/>
                          <w:marRight w:val="150"/>
                          <w:marTop w:val="150"/>
                          <w:marBottom w:val="150"/>
                          <w:divBdr>
                            <w:top w:val="none" w:sz="0" w:space="0" w:color="auto"/>
                            <w:left w:val="none" w:sz="0" w:space="0" w:color="auto"/>
                            <w:bottom w:val="none" w:sz="0" w:space="0" w:color="auto"/>
                            <w:right w:val="none" w:sz="0" w:space="0" w:color="auto"/>
                          </w:divBdr>
                          <w:divsChild>
                            <w:div w:id="1722358909">
                              <w:marLeft w:val="0"/>
                              <w:marRight w:val="0"/>
                              <w:marTop w:val="0"/>
                              <w:marBottom w:val="0"/>
                              <w:divBdr>
                                <w:top w:val="none" w:sz="0" w:space="0" w:color="auto"/>
                                <w:left w:val="none" w:sz="0" w:space="0" w:color="auto"/>
                                <w:bottom w:val="none" w:sz="0" w:space="0" w:color="auto"/>
                                <w:right w:val="none" w:sz="0" w:space="0" w:color="auto"/>
                              </w:divBdr>
                            </w:div>
                            <w:div w:id="2078092051">
                              <w:marLeft w:val="0"/>
                              <w:marRight w:val="0"/>
                              <w:marTop w:val="0"/>
                              <w:marBottom w:val="0"/>
                              <w:divBdr>
                                <w:top w:val="none" w:sz="0" w:space="0" w:color="auto"/>
                                <w:left w:val="none" w:sz="0" w:space="0" w:color="auto"/>
                                <w:bottom w:val="none" w:sz="0" w:space="0" w:color="auto"/>
                                <w:right w:val="none" w:sz="0" w:space="0" w:color="auto"/>
                              </w:divBdr>
                            </w:div>
                            <w:div w:id="280260933">
                              <w:marLeft w:val="600"/>
                              <w:marRight w:val="0"/>
                              <w:marTop w:val="150"/>
                              <w:marBottom w:val="0"/>
                              <w:divBdr>
                                <w:top w:val="none" w:sz="0" w:space="0" w:color="auto"/>
                                <w:left w:val="none" w:sz="0" w:space="0" w:color="auto"/>
                                <w:bottom w:val="none" w:sz="0" w:space="0" w:color="auto"/>
                                <w:right w:val="none" w:sz="0" w:space="0" w:color="auto"/>
                              </w:divBdr>
                            </w:div>
                            <w:div w:id="2106227376">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umenti.camera.it/apps/commonServices/getDocumento.ashx?sezione=deputati&amp;tipoDoc=schedaDeputato&amp;idLegislatura=18&amp;idPersona=307204&amp;webType=Normale" TargetMode="External"/><Relationship Id="rId12" Type="http://schemas.openxmlformats.org/officeDocument/2006/relationships/hyperlink" Target="https://documenti.camera.it/apps/commonServices/getDocumento.ashx?sezione=deputati&amp;tipoDoc=schedaDeputato&amp;idLegislatura=18&amp;idPersona=302151&amp;webType=Norma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ocumenti.camera.it/apps/emendamenti/getTestoAtto.aspx?atto=2790-bis&amp;legislatura=18" TargetMode="External"/><Relationship Id="rId5" Type="http://schemas.openxmlformats.org/officeDocument/2006/relationships/hyperlink" Target="javascript:%20HideContentEmendamenti('cmd.commissione.referente.20201211.show');%20ShowContentEmendamenti('cmd.commissione.referente.20201211.hide');ShowContentEmendamenti('commissione.referente.20201211');" TargetMode="External"/><Relationship Id="rId6" Type="http://schemas.openxmlformats.org/officeDocument/2006/relationships/hyperlink" Target="javascript:HideContentEmendamenti('commissione.referente.20201220');HideContentEmendamenti('cmd.commissione.referente.20201220.hide');ShowContentEmendamenti('cmd.commissione.referente.20201220.show');" TargetMode="External"/><Relationship Id="rId7" Type="http://schemas.openxmlformats.org/officeDocument/2006/relationships/hyperlink" Target="http://documenti.camera.it/apps/emendamenti/getDocumento.aspx?tipoDocumento=bollettino&amp;idLegislatura=18&amp;dataDocumento=20201220&amp;commissioni=05" TargetMode="External"/><Relationship Id="rId8" Type="http://schemas.openxmlformats.org/officeDocument/2006/relationships/hyperlink" Target="https://documenti.camera.it/apps/commonServices/getDocumento.ashx?sezione=deputati&amp;tipoDoc=schedaDeputato&amp;idLegislatura=18&amp;idPersona=301541&amp;webType=Normale" TargetMode="External"/><Relationship Id="rId9" Type="http://schemas.openxmlformats.org/officeDocument/2006/relationships/hyperlink" Target="https://documenti.camera.it/apps/commonServices/getDocumento.ashx?sezione=deputati&amp;tipoDoc=schedaDeputato&amp;idLegislatura=18&amp;idPersona=307294&amp;webType=Normale" TargetMode="External"/><Relationship Id="rId10" Type="http://schemas.openxmlformats.org/officeDocument/2006/relationships/hyperlink" Target="https://documenti.camera.it/apps/commonServices/getDocumento.ashx?sezione=deputati&amp;tipoDoc=schedaDeputato&amp;idLegislatura=18&amp;idPersona=307436&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Ponticelli</dc:creator>
  <cp:lastModifiedBy>Utente di Microsoft Office</cp:lastModifiedBy>
  <cp:revision>2</cp:revision>
  <dcterms:created xsi:type="dcterms:W3CDTF">2020-12-22T16:57:00Z</dcterms:created>
  <dcterms:modified xsi:type="dcterms:W3CDTF">2020-12-22T16:57:00Z</dcterms:modified>
</cp:coreProperties>
</file>